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line="360" w:lineRule="auto"/>
      </w:pPr>
      <w:bookmarkStart w:id="0" w:name="_GoBack"/>
      <w:bookmarkEnd w:id="0"/>
      <w:r>
        <w:t>评审标准</w:t>
      </w:r>
    </w:p>
    <w:tbl>
      <w:tblPr>
        <w:tblStyle w:val="7"/>
        <w:tblW w:w="9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238"/>
        <w:gridCol w:w="850"/>
        <w:gridCol w:w="5601"/>
        <w:gridCol w:w="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序号</w:t>
            </w:r>
          </w:p>
        </w:tc>
        <w:tc>
          <w:tcPr>
            <w:tcW w:w="2088" w:type="dxa"/>
            <w:gridSpan w:val="2"/>
            <w:noWrap w:val="0"/>
            <w:vAlign w:val="top"/>
          </w:tcPr>
          <w:p>
            <w:pPr>
              <w:spacing w:line="240" w:lineRule="auto"/>
              <w:ind w:firstLine="720" w:firstLineChars="300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评审因素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评分标准说明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restart"/>
            <w:noWrap w:val="0"/>
            <w:vAlign w:val="center"/>
          </w:tcPr>
          <w:p>
            <w:pPr>
              <w:tabs>
                <w:tab w:val="left" w:pos="420"/>
              </w:tabs>
              <w:snapToGrid w:val="0"/>
              <w:spacing w:before="468" w:beforeLines="150" w:line="240" w:lineRule="auto"/>
              <w:ind w:firstLine="0" w:firstLineChars="0"/>
              <w:jc w:val="center"/>
              <w:rPr>
                <w:rFonts w:ascii="宋体" w:hAnsi="宋体"/>
                <w:color w:val="000000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</w:t>
            </w:r>
          </w:p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238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商务（20分）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供应商</w:t>
            </w:r>
            <w:r>
              <w:rPr>
                <w:rFonts w:hint="eastAsia" w:ascii="宋体" w:hAnsi="宋体"/>
                <w:szCs w:val="24"/>
              </w:rPr>
              <w:t>业绩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ascii="宋体" w:hAnsi="宋体"/>
                <w:kern w:val="2"/>
                <w:szCs w:val="24"/>
                <w:lang w:val="en-US" w:eastAsia="zh-CN"/>
              </w:rPr>
              <w:t>供应商近三年（2020年1月1日至今）承担过的类似业绩（以实际签订合同日期为准），每有一个业绩得2分，最高得10分。</w:t>
            </w:r>
          </w:p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ascii="宋体" w:hAnsi="宋体"/>
                <w:kern w:val="2"/>
                <w:szCs w:val="24"/>
                <w:lang w:val="en-US" w:eastAsia="zh-CN"/>
              </w:rPr>
              <w:t>注：供应商需确保所提供的案例真实有效，须提供合同复印件并加盖公章。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continue"/>
            <w:noWrap w:val="0"/>
            <w:vAlign w:val="center"/>
          </w:tcPr>
          <w:p>
            <w:pPr>
              <w:tabs>
                <w:tab w:val="left" w:pos="420"/>
              </w:tabs>
              <w:snapToGrid w:val="0"/>
              <w:spacing w:before="468" w:beforeLines="150" w:line="240" w:lineRule="auto"/>
              <w:ind w:firstLine="0" w:firstLineChars="0"/>
              <w:jc w:val="center"/>
              <w:rPr>
                <w:rFonts w:hint="eastAsia" w:ascii="宋体" w:hAnsi="宋体"/>
                <w:color w:val="000000"/>
                <w:szCs w:val="24"/>
              </w:rPr>
            </w:pPr>
          </w:p>
        </w:tc>
        <w:tc>
          <w:tcPr>
            <w:tcW w:w="1238" w:type="dxa"/>
            <w:vMerge w:val="continue"/>
            <w:noWrap w:val="0"/>
            <w:vAlign w:val="top"/>
          </w:tcPr>
          <w:p>
            <w:pPr>
              <w:spacing w:before="1560" w:beforeLines="500"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项目负责人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hint="eastAsia"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本项目拟派的项目负责人参与实施过类似项目的业绩，且具备PMP项目管理认证证书和高级工程师资格证书，得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 xml:space="preserve">分，否则不得分。 </w:t>
            </w:r>
          </w:p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注：须提供参与项目证明文件（合同关键页或验收报告复印件，须呈现项目负责人的姓名）、证书复印件和供应商为其缴交的近六个月（不含当月）的社保证明材料。最高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continue"/>
            <w:noWrap w:val="0"/>
            <w:vAlign w:val="center"/>
          </w:tcPr>
          <w:p>
            <w:pPr>
              <w:tabs>
                <w:tab w:val="left" w:pos="420"/>
              </w:tabs>
              <w:snapToGrid w:val="0"/>
              <w:spacing w:before="468" w:beforeLines="150" w:line="240" w:lineRule="auto"/>
              <w:ind w:firstLine="0" w:firstLineChars="0"/>
              <w:jc w:val="center"/>
              <w:rPr>
                <w:rFonts w:hint="eastAsia" w:ascii="宋体" w:hAnsi="宋体"/>
                <w:color w:val="000000"/>
                <w:szCs w:val="24"/>
              </w:rPr>
            </w:pPr>
          </w:p>
        </w:tc>
        <w:tc>
          <w:tcPr>
            <w:tcW w:w="1238" w:type="dxa"/>
            <w:vMerge w:val="continue"/>
            <w:noWrap w:val="0"/>
            <w:vAlign w:val="top"/>
          </w:tcPr>
          <w:p>
            <w:pPr>
              <w:spacing w:before="1560" w:beforeLines="500"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知识产权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供应商具有项目相关软件著作权登记证书，每提供一得1分，最多得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分，不提供或提供的证书与要求不符的不得分。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1238" w:type="dxa"/>
            <w:vMerge w:val="continue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企业能力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hint="eastAsia"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供应商具备质量管理体系认证证书、环境管理体系认证证书、职业健康安全管理体系认证证书、信息安全管理体系认证证书，提供以上在有效期内证书扫描件，每个合格的证书扫描件1分，最高4分。</w:t>
            </w:r>
          </w:p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注：以上证书覆盖范围需含有“计算机应用软件开发及技术服务”等内容，（证书的颁发日期需在本项目公告日之前，提供有效期内证书复印件及该证书在平台（http://cx.cnca.cn）上查询状态为“有效”的结果网页或截图打印件，否则不得分）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restart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2</w:t>
            </w:r>
          </w:p>
        </w:tc>
        <w:tc>
          <w:tcPr>
            <w:tcW w:w="1238" w:type="dxa"/>
            <w:vMerge w:val="restart"/>
            <w:noWrap w:val="0"/>
            <w:vAlign w:val="center"/>
          </w:tcPr>
          <w:p>
            <w:pPr>
              <w:spacing w:before="2496" w:beforeLines="800" w:line="240" w:lineRule="auto"/>
              <w:ind w:firstLine="0" w:firstLineChars="0"/>
              <w:rPr>
                <w:rFonts w:hint="eastAsia"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技术服务（60分）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系统升级方案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提供了内容完整、合理可行的系统升级方案，针对性强，得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-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分；提供了常规、通用的方案及措施，细节待完善，得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-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分；提供的方案欠佳或未提供，得0-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1238" w:type="dxa"/>
            <w:vMerge w:val="continue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系统实施方案</w:t>
            </w:r>
          </w:p>
        </w:tc>
        <w:tc>
          <w:tcPr>
            <w:tcW w:w="5601" w:type="dxa"/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提供了内容完整、合理可行的硬件集成、进度安排、质量管控</w:t>
            </w:r>
            <w:r>
              <w:rPr>
                <w:rFonts w:hint="eastAsia"/>
                <w:kern w:val="2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，针对性强，得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10-15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分；提供了常规、通用的方案及措施，细节待完善，得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6-10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分；提供的方案欠佳或未提供，得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0-5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1</w:t>
            </w:r>
            <w:r>
              <w:rPr>
                <w:rFonts w:hint="eastAsia" w:ascii="宋体" w:hAnsi="宋体"/>
                <w:bCs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898" w:hRule="atLeast"/>
          <w:jc w:val="center"/>
        </w:trPr>
        <w:tc>
          <w:tcPr>
            <w:tcW w:w="697" w:type="dxa"/>
            <w:vMerge w:val="continue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1238" w:type="dxa"/>
            <w:vMerge w:val="continue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培训方案</w:t>
            </w:r>
          </w:p>
        </w:tc>
        <w:tc>
          <w:tcPr>
            <w:tcW w:w="56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提供了内容完整、合理可行的培训方案，针对性强，得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-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分；提供了常规、通用的方案及措施，细节待完善，得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3-6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分；提供的方案欠佳或未提供，得0-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1</w:t>
            </w:r>
            <w:r>
              <w:rPr>
                <w:rFonts w:hint="eastAsia" w:ascii="宋体" w:hAnsi="宋体"/>
                <w:bCs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898" w:hRule="atLeast"/>
          <w:jc w:val="center"/>
        </w:trPr>
        <w:tc>
          <w:tcPr>
            <w:tcW w:w="69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1238" w:type="dxa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售后服务方案</w:t>
            </w:r>
          </w:p>
        </w:tc>
        <w:tc>
          <w:tcPr>
            <w:tcW w:w="56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0"/>
              <w:spacing w:line="240" w:lineRule="auto"/>
              <w:ind w:firstLine="0" w:firstLineChars="0"/>
              <w:rPr>
                <w:rFonts w:hint="eastAsia" w:ascii="宋体" w:hAnsi="宋体"/>
                <w:kern w:val="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提供了内容完整、合理可行的日常技术支持、售后保障</w:t>
            </w:r>
            <w:r>
              <w:rPr>
                <w:rFonts w:hint="eastAsia"/>
                <w:kern w:val="2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，针对性强，得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7-10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分；提供了常规、通用的方案及措施，细节待完善，得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4-6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分；提供的方案欠佳或未提供，得</w:t>
            </w:r>
            <w:r>
              <w:rPr>
                <w:rFonts w:ascii="宋体" w:hAnsi="宋体"/>
                <w:kern w:val="2"/>
                <w:szCs w:val="24"/>
                <w:lang w:val="en-US" w:eastAsia="zh-CN"/>
              </w:rPr>
              <w:t>0-3</w:t>
            </w:r>
            <w:r>
              <w:rPr>
                <w:rFonts w:hint="eastAsia" w:ascii="宋体" w:hAnsi="宋体"/>
                <w:kern w:val="2"/>
                <w:szCs w:val="24"/>
                <w:lang w:val="en-US" w:eastAsia="zh-CN"/>
              </w:rPr>
              <w:t>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697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3</w:t>
            </w:r>
          </w:p>
        </w:tc>
        <w:tc>
          <w:tcPr>
            <w:tcW w:w="1238" w:type="dxa"/>
            <w:noWrap w:val="0"/>
            <w:vAlign w:val="top"/>
          </w:tcPr>
          <w:p>
            <w:pPr>
              <w:spacing w:before="624" w:beforeLines="200"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价格</w:t>
            </w:r>
            <w:r>
              <w:rPr>
                <w:rFonts w:hint="eastAsia" w:ascii="宋体" w:hAnsi="宋体"/>
                <w:szCs w:val="24"/>
              </w:rPr>
              <w:t>（20分）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价格</w:t>
            </w:r>
          </w:p>
        </w:tc>
        <w:tc>
          <w:tcPr>
            <w:tcW w:w="560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供应商报价得分的计算采用低价优先法，按如下公式进行计算：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响应报价得分=（响应基准价/评审价）×价格权重</w:t>
            </w:r>
          </w:p>
          <w:p>
            <w:pPr>
              <w:spacing w:line="240" w:lineRule="auto"/>
              <w:ind w:firstLine="0" w:firstLineChars="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注：满足协议采购文件要求且评审价最低的供应商的价格为响应基准价，其价格分为满分。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2</w:t>
            </w:r>
            <w:r>
              <w:rPr>
                <w:rFonts w:hint="eastAsia" w:ascii="宋体" w:hAnsi="宋体"/>
                <w:bCs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jc w:val="center"/>
        </w:trPr>
        <w:tc>
          <w:tcPr>
            <w:tcW w:w="8386" w:type="dxa"/>
            <w:gridSpan w:val="4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ascii="宋体" w:hAnsi="宋体"/>
                <w:bCs/>
                <w:szCs w:val="24"/>
              </w:rPr>
              <w:t>合计</w:t>
            </w:r>
          </w:p>
        </w:tc>
        <w:tc>
          <w:tcPr>
            <w:tcW w:w="793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/>
                <w:bCs/>
                <w:szCs w:val="24"/>
              </w:rPr>
            </w:pPr>
            <w:r>
              <w:rPr>
                <w:rFonts w:hint="eastAsia" w:ascii="宋体" w:hAnsi="宋体"/>
                <w:bCs/>
                <w:szCs w:val="24"/>
              </w:rPr>
              <w:t>100</w:t>
            </w:r>
          </w:p>
        </w:tc>
      </w:tr>
    </w:tbl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0"/>
      <w:numFmt w:val="decimal"/>
      <w:pStyle w:val="3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5A8"/>
    <w:rsid w:val="00110A8B"/>
    <w:rsid w:val="0014011F"/>
    <w:rsid w:val="00144DCF"/>
    <w:rsid w:val="001B66A7"/>
    <w:rsid w:val="001D0CE1"/>
    <w:rsid w:val="00232F26"/>
    <w:rsid w:val="0024294F"/>
    <w:rsid w:val="00342CEB"/>
    <w:rsid w:val="003464DE"/>
    <w:rsid w:val="00382DC5"/>
    <w:rsid w:val="00387A3E"/>
    <w:rsid w:val="00404C84"/>
    <w:rsid w:val="004C27B8"/>
    <w:rsid w:val="004C3718"/>
    <w:rsid w:val="005C088A"/>
    <w:rsid w:val="00631238"/>
    <w:rsid w:val="00635F71"/>
    <w:rsid w:val="006A4B7C"/>
    <w:rsid w:val="006C5A44"/>
    <w:rsid w:val="00716DE0"/>
    <w:rsid w:val="007A6FA0"/>
    <w:rsid w:val="007D654D"/>
    <w:rsid w:val="00801B01"/>
    <w:rsid w:val="00823EE4"/>
    <w:rsid w:val="00852F25"/>
    <w:rsid w:val="008E422E"/>
    <w:rsid w:val="00976FBA"/>
    <w:rsid w:val="009E6E65"/>
    <w:rsid w:val="009F0308"/>
    <w:rsid w:val="00AE67F1"/>
    <w:rsid w:val="00B1012C"/>
    <w:rsid w:val="00B515A8"/>
    <w:rsid w:val="00B57AC7"/>
    <w:rsid w:val="00B72989"/>
    <w:rsid w:val="00BB683D"/>
    <w:rsid w:val="00BC67FA"/>
    <w:rsid w:val="00CC182B"/>
    <w:rsid w:val="00D26EF0"/>
    <w:rsid w:val="00D85127"/>
    <w:rsid w:val="00DD07B5"/>
    <w:rsid w:val="00F80208"/>
    <w:rsid w:val="00FA6B20"/>
    <w:rsid w:val="00FA79B8"/>
    <w:rsid w:val="00FF4ED8"/>
    <w:rsid w:val="6ADE4E9B"/>
    <w:rsid w:val="760624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uto"/>
      <w:ind w:firstLine="480" w:firstLineChars="200"/>
      <w:textAlignment w:val="baseline"/>
    </w:pPr>
    <w:rPr>
      <w:rFonts w:ascii="Times New Roman" w:hAnsi="Times New Roman" w:eastAsia="宋体"/>
      <w:sz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99"/>
    <w:pPr>
      <w:keepNext/>
      <w:keepLines/>
      <w:numPr>
        <w:ilvl w:val="0"/>
        <w:numId w:val="1"/>
      </w:numPr>
      <w:spacing w:before="340" w:after="330" w:line="578" w:lineRule="atLeast"/>
      <w:ind w:firstLine="0" w:firstLineChars="0"/>
      <w:jc w:val="center"/>
      <w:outlineLvl w:val="0"/>
    </w:pPr>
    <w:rPr>
      <w:b/>
      <w:bCs/>
      <w:kern w:val="44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Normal Indent"/>
    <w:basedOn w:val="1"/>
    <w:semiHidden/>
    <w:unhideWhenUsed/>
    <w:uiPriority w:val="99"/>
    <w:pPr>
      <w:ind w:firstLine="420"/>
    </w:pPr>
  </w:style>
  <w:style w:type="paragraph" w:styleId="4">
    <w:name w:val="Document Map"/>
    <w:basedOn w:val="1"/>
    <w:link w:val="14"/>
    <w:semiHidden/>
    <w:unhideWhenUsed/>
    <w:uiPriority w:val="99"/>
    <w:rPr>
      <w:rFonts w:ascii="宋体"/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标题 1 字符"/>
    <w:link w:val="3"/>
    <w:qFormat/>
    <w:uiPriority w:val="99"/>
    <w:rPr>
      <w:rFonts w:ascii="Times New Roman" w:hAnsi="Times New Roman" w:eastAsia="宋体" w:cs="Times New Roman"/>
      <w:b/>
      <w:bCs/>
      <w:kern w:val="44"/>
      <w:sz w:val="28"/>
      <w:szCs w:val="28"/>
    </w:rPr>
  </w:style>
  <w:style w:type="paragraph" w:customStyle="1" w:styleId="10">
    <w:name w:val="!正文"/>
    <w:basedOn w:val="1"/>
    <w:link w:val="11"/>
    <w:qFormat/>
    <w:uiPriority w:val="0"/>
    <w:pPr>
      <w:adjustRightInd/>
      <w:jc w:val="both"/>
      <w:textAlignment w:val="auto"/>
    </w:pPr>
    <w:rPr>
      <w:szCs w:val="28"/>
    </w:rPr>
  </w:style>
  <w:style w:type="character" w:customStyle="1" w:styleId="11">
    <w:name w:val="!正文 Char"/>
    <w:link w:val="10"/>
    <w:qFormat/>
    <w:uiPriority w:val="0"/>
    <w:rPr>
      <w:rFonts w:ascii="Times New Roman" w:hAnsi="Times New Roman" w:eastAsia="宋体" w:cs="Times New Roman"/>
      <w:sz w:val="24"/>
      <w:szCs w:val="28"/>
    </w:rPr>
  </w:style>
  <w:style w:type="character" w:customStyle="1" w:styleId="12">
    <w:name w:val="页眉 字符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脚 字符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文档结构图 Char"/>
    <w:basedOn w:val="8"/>
    <w:link w:val="4"/>
    <w:semiHidden/>
    <w:uiPriority w:val="99"/>
    <w:rPr>
      <w:rFonts w:ascii="宋体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1007</Characters>
  <Lines>7</Lines>
  <Paragraphs>2</Paragraphs>
  <TotalTime>0</TotalTime>
  <ScaleCrop>false</ScaleCrop>
  <LinksUpToDate>false</LinksUpToDate>
  <CharactersWithSpaces>1008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2024-01-04T02:29:00Z</dcterms:created>
  <dc:creator>董</dc:creator>
  <cp:lastModifiedBy>刘佳</cp:lastModifiedBy>
  <dcterms:modified xsi:type="dcterms:W3CDTF">2024-05-28T07:00:56Z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DD9727D2921E4407B29756C3D25B3BB8_13</vt:lpwstr>
  </property>
</Properties>
</file>